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52"/>
          <w:szCs w:val="52"/>
          <w:lang w:val="en-US" w:eastAsia="zh-CN"/>
        </w:rPr>
      </w:pPr>
    </w:p>
    <w:p>
      <w:pPr>
        <w:jc w:val="center"/>
        <w:rPr>
          <w:rFonts w:hint="eastAsia" w:ascii="仿宋" w:hAnsi="仿宋" w:eastAsia="仿宋" w:cs="仿宋"/>
          <w:b/>
          <w:bCs/>
          <w:sz w:val="52"/>
          <w:szCs w:val="52"/>
          <w:lang w:val="en-US" w:eastAsia="zh-CN"/>
        </w:rPr>
      </w:pPr>
    </w:p>
    <w:p>
      <w:pPr>
        <w:jc w:val="center"/>
        <w:rPr>
          <w:rFonts w:hint="eastAsia" w:ascii="仿宋" w:hAnsi="仿宋" w:eastAsia="仿宋" w:cs="仿宋"/>
          <w:b/>
          <w:bCs/>
          <w:sz w:val="52"/>
          <w:szCs w:val="52"/>
          <w:lang w:val="en-US" w:eastAsia="zh-CN"/>
        </w:rPr>
      </w:pPr>
    </w:p>
    <w:p>
      <w:pPr>
        <w:jc w:val="center"/>
        <w:outlineLvl w:val="0"/>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宁波市造价咨询企业及人员信用能力动态评价系统</w:t>
      </w:r>
    </w:p>
    <w:p>
      <w:pPr>
        <w:jc w:val="center"/>
        <w:outlineLvl w:val="0"/>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操作手册</w:t>
      </w:r>
    </w:p>
    <w:p>
      <w:pPr>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（修订版）</w:t>
      </w:r>
    </w:p>
    <w:p>
      <w:pPr>
        <w:jc w:val="center"/>
        <w:rPr>
          <w:rFonts w:hint="eastAsia" w:ascii="仿宋" w:hAnsi="仿宋" w:eastAsia="仿宋" w:cs="仿宋"/>
          <w:b/>
          <w:bCs/>
          <w:sz w:val="52"/>
          <w:szCs w:val="52"/>
          <w:lang w:val="en-US" w:eastAsia="zh-CN"/>
        </w:rPr>
      </w:pPr>
      <w:bookmarkStart w:id="0" w:name="_GoBack"/>
      <w:bookmarkEnd w:id="0"/>
    </w:p>
    <w:p>
      <w:pPr>
        <w:jc w:val="center"/>
        <w:rPr>
          <w:rFonts w:hint="eastAsia" w:ascii="仿宋" w:hAnsi="仿宋" w:eastAsia="仿宋" w:cs="仿宋"/>
          <w:b/>
          <w:bCs/>
          <w:sz w:val="52"/>
          <w:szCs w:val="52"/>
          <w:lang w:val="en-US" w:eastAsia="zh-CN"/>
        </w:rPr>
      </w:pPr>
    </w:p>
    <w:p>
      <w:pPr>
        <w:jc w:val="center"/>
        <w:rPr>
          <w:rFonts w:hint="eastAsia" w:ascii="仿宋" w:hAnsi="仿宋" w:eastAsia="仿宋" w:cs="仿宋"/>
          <w:b/>
          <w:bCs/>
          <w:sz w:val="52"/>
          <w:szCs w:val="52"/>
          <w:lang w:val="en-US" w:eastAsia="zh-CN"/>
        </w:rPr>
      </w:pPr>
    </w:p>
    <w:p>
      <w:pPr>
        <w:jc w:val="center"/>
        <w:rPr>
          <w:rFonts w:hint="eastAsia" w:ascii="仿宋" w:hAnsi="仿宋" w:eastAsia="仿宋" w:cs="仿宋"/>
          <w:b/>
          <w:bCs/>
          <w:sz w:val="52"/>
          <w:szCs w:val="52"/>
          <w:lang w:val="en-US" w:eastAsia="zh-CN"/>
        </w:rPr>
      </w:pPr>
    </w:p>
    <w:p>
      <w:pPr>
        <w:jc w:val="center"/>
        <w:rPr>
          <w:rFonts w:hint="eastAsia" w:ascii="仿宋" w:hAnsi="仿宋" w:eastAsia="仿宋" w:cs="仿宋"/>
          <w:b/>
          <w:bCs/>
          <w:sz w:val="52"/>
          <w:szCs w:val="52"/>
          <w:lang w:val="en-US" w:eastAsia="zh-CN"/>
        </w:rPr>
      </w:pPr>
    </w:p>
    <w:p>
      <w:pPr>
        <w:jc w:val="center"/>
        <w:rPr>
          <w:rFonts w:hint="eastAsia" w:ascii="仿宋" w:hAnsi="仿宋" w:eastAsia="仿宋" w:cs="仿宋"/>
          <w:b/>
          <w:bCs/>
          <w:sz w:val="52"/>
          <w:szCs w:val="52"/>
          <w:lang w:val="en-US" w:eastAsia="zh-CN"/>
        </w:rPr>
      </w:pPr>
    </w:p>
    <w:p>
      <w:pPr>
        <w:jc w:val="center"/>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宁波市建筑市场管理服务总站</w:t>
      </w:r>
    </w:p>
    <w:p>
      <w:pPr>
        <w:jc w:val="center"/>
        <w:outlineLvl w:val="0"/>
        <w:rPr>
          <w:rFonts w:hint="eastAsia" w:ascii="仿宋" w:hAnsi="仿宋" w:eastAsia="仿宋" w:cs="仿宋"/>
          <w:b/>
          <w:bCs/>
          <w:sz w:val="28"/>
          <w:szCs w:val="28"/>
          <w:lang w:val="en-US" w:eastAsia="zh-CN"/>
        </w:rPr>
      </w:pPr>
    </w:p>
    <w:p>
      <w:pPr>
        <w:jc w:val="center"/>
        <w:outlineLvl w:val="0"/>
        <w:rPr>
          <w:rFonts w:hint="eastAsia" w:ascii="仿宋" w:hAnsi="仿宋" w:eastAsia="仿宋" w:cs="仿宋"/>
          <w:b/>
          <w:bCs/>
          <w:sz w:val="28"/>
          <w:szCs w:val="28"/>
          <w:lang w:val="en-US" w:eastAsia="zh-CN"/>
        </w:rPr>
      </w:pPr>
    </w:p>
    <w:p>
      <w:pPr>
        <w:numPr>
          <w:ilvl w:val="0"/>
          <w:numId w:val="0"/>
        </w:numPr>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一、入口</w:t>
      </w:r>
    </w:p>
    <w:p>
      <w:pPr>
        <w:numPr>
          <w:ilvl w:val="0"/>
          <w:numId w:val="0"/>
        </w:numPr>
        <w:ind w:firstLine="560" w:firstLineChars="200"/>
        <w:rPr>
          <w:rFonts w:hint="default" w:ascii="仿宋" w:hAnsi="仿宋" w:eastAsia="宋体" w:cs="仿宋"/>
          <w:sz w:val="28"/>
          <w:szCs w:val="28"/>
          <w:lang w:val="en-US" w:eastAsia="zh-CN"/>
        </w:rPr>
      </w:pPr>
      <w:r>
        <w:rPr>
          <w:rFonts w:hint="eastAsia" w:ascii="仿宋" w:hAnsi="仿宋" w:eastAsia="仿宋" w:cs="仿宋"/>
          <w:sz w:val="28"/>
          <w:szCs w:val="28"/>
          <w:lang w:val="en-US" w:eastAsia="zh-CN"/>
        </w:rPr>
        <w:t>浏览器打开：https://nbjszj.zjw.ningbo.gov.cn/#/home宁波市建设工程数字造价平台，点击“行业信用平台 ”-“动态信用评价登录”。</w:t>
      </w:r>
    </w:p>
    <w:p>
      <w:pPr>
        <w:numPr>
          <w:ilvl w:val="0"/>
          <w:numId w:val="0"/>
        </w:numPr>
      </w:pPr>
      <w:r>
        <w:drawing>
          <wp:inline distT="0" distB="0" distL="114300" distR="114300">
            <wp:extent cx="5285105" cy="2529840"/>
            <wp:effectExtent l="0" t="0" r="1079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85105" cy="2529840"/>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pPr>
      <w:r>
        <w:drawing>
          <wp:inline distT="0" distB="0" distL="114300" distR="114300">
            <wp:extent cx="5340350" cy="2555875"/>
            <wp:effectExtent l="0" t="0" r="1270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340350" cy="2555875"/>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rPr>
          <w:rFonts w:hint="eastAsia"/>
          <w:lang w:val="en-US" w:eastAsia="zh-CN"/>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numPr>
          <w:ilvl w:val="0"/>
          <w:numId w:val="0"/>
        </w:numPr>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二、账号密码</w:t>
      </w:r>
    </w:p>
    <w:p>
      <w:pPr>
        <w:ind w:firstLine="560" w:firstLineChars="200"/>
        <w:rPr>
          <w:rFonts w:hint="default"/>
          <w:lang w:val="en-US" w:eastAsia="zh-CN"/>
        </w:rPr>
      </w:pPr>
      <w:r>
        <w:rPr>
          <w:rFonts w:hint="eastAsia" w:ascii="仿宋" w:hAnsi="仿宋" w:eastAsia="仿宋" w:cs="仿宋"/>
          <w:sz w:val="28"/>
          <w:szCs w:val="28"/>
          <w:lang w:val="en-US" w:eastAsia="zh-CN"/>
        </w:rPr>
        <w:t>账号密码自动同步“浙江省造价咨询企业及人员信用能力评价系统”，在省系统修改密码后实时进行同步，如忘记密码请联系当地造价站或联系QQ1522909171。</w:t>
      </w:r>
    </w:p>
    <w:p>
      <w:r>
        <w:drawing>
          <wp:inline distT="0" distB="0" distL="114300" distR="114300">
            <wp:extent cx="5266690" cy="2520950"/>
            <wp:effectExtent l="0" t="0" r="1016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66690" cy="2520950"/>
                    </a:xfrm>
                    <a:prstGeom prst="rect">
                      <a:avLst/>
                    </a:prstGeom>
                    <a:noFill/>
                    <a:ln>
                      <a:noFill/>
                    </a:ln>
                  </pic:spPr>
                </pic:pic>
              </a:graphicData>
            </a:graphic>
          </wp:inline>
        </w:drawing>
      </w:r>
    </w:p>
    <w:p/>
    <w:p>
      <w:pPr>
        <w:numPr>
          <w:ilvl w:val="0"/>
          <w:numId w:val="0"/>
        </w:numPr>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三、上报说明</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本系统分为以下模块：</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基本信息：企业基本情况、企业规模、业绩能力、荣誉，从浙江省造价咨询企业及人员信用能力动态评价系统和注册造价工程师管理系统自动同步，赋分标准与浙江省工程造价咨询企业信用能力动态评价标准一致。</w:t>
      </w:r>
    </w:p>
    <w:p>
      <w:pPr>
        <w:numPr>
          <w:ilvl w:val="0"/>
          <w:numId w:val="0"/>
        </w:numPr>
        <w:ind w:firstLine="560" w:firstLineChars="200"/>
        <w:rPr>
          <w:rFonts w:hint="default" w:ascii="仿宋" w:hAnsi="仿宋" w:eastAsia="仿宋" w:cs="仿宋"/>
          <w:sz w:val="28"/>
          <w:szCs w:val="28"/>
          <w:lang w:val="en-US" w:eastAsia="zh-CN"/>
        </w:rPr>
      </w:pPr>
      <w:r>
        <w:rPr>
          <w:rFonts w:hint="eastAsia" w:ascii="仿宋" w:hAnsi="仿宋" w:eastAsia="仿宋" w:cs="仿宋"/>
          <w:color w:val="auto"/>
          <w:sz w:val="28"/>
          <w:szCs w:val="28"/>
          <w:lang w:val="en-US" w:eastAsia="zh-CN"/>
        </w:rPr>
        <w:t>2.</w:t>
      </w:r>
      <w:r>
        <w:rPr>
          <w:rFonts w:hint="default" w:ascii="仿宋" w:hAnsi="仿宋" w:eastAsia="仿宋" w:cs="仿宋"/>
          <w:color w:val="auto"/>
          <w:sz w:val="28"/>
          <w:szCs w:val="28"/>
          <w:lang w:val="en-US" w:eastAsia="zh-CN"/>
        </w:rPr>
        <w:t>其他信息：加</w:t>
      </w:r>
      <w:r>
        <w:rPr>
          <w:rFonts w:hint="default" w:ascii="仿宋" w:hAnsi="仿宋" w:eastAsia="仿宋" w:cs="仿宋"/>
          <w:sz w:val="28"/>
          <w:szCs w:val="28"/>
          <w:lang w:val="en-US" w:eastAsia="zh-CN"/>
        </w:rPr>
        <w:t>入市行业协会自律公约和签署清廉造价承诺书由市级建设工程造价管理部门录入系统；企业信用等级赋分由系统统计后自动赋分；其余指标由企业自行上传相关证明文件，经审核后生效，具体上传入口如下：</w:t>
      </w:r>
    </w:p>
    <w:p>
      <w:pPr>
        <w:numPr>
          <w:ilvl w:val="0"/>
          <w:numId w:val="0"/>
        </w:numPr>
      </w:pPr>
      <w:r>
        <w:drawing>
          <wp:inline distT="0" distB="0" distL="114300" distR="114300">
            <wp:extent cx="5265420" cy="3039745"/>
            <wp:effectExtent l="0" t="0" r="1143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5420" cy="3039745"/>
                    </a:xfrm>
                    <a:prstGeom prst="rect">
                      <a:avLst/>
                    </a:prstGeom>
                    <a:noFill/>
                    <a:ln>
                      <a:noFill/>
                    </a:ln>
                  </pic:spPr>
                </pic:pic>
              </a:graphicData>
            </a:graphic>
          </wp:inline>
        </w:drawing>
      </w:r>
    </w:p>
    <w:p>
      <w:pPr>
        <w:numPr>
          <w:ilvl w:val="0"/>
          <w:numId w:val="0"/>
        </w:num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default" w:ascii="仿宋" w:hAnsi="仿宋" w:eastAsia="仿宋" w:cs="仿宋"/>
          <w:sz w:val="28"/>
          <w:szCs w:val="28"/>
          <w:lang w:val="en-US" w:eastAsia="zh-CN"/>
        </w:rPr>
        <w:t>不良信息：市级建设工程造价管理机构获得相关企业的不良信息后应录入系统。</w:t>
      </w:r>
    </w:p>
    <w:p>
      <w:pPr>
        <w:numPr>
          <w:ilvl w:val="0"/>
          <w:numId w:val="0"/>
        </w:numPr>
        <w:rPr>
          <w:rFonts w:hint="default"/>
          <w:lang w:val="en-US" w:eastAsia="zh-CN"/>
        </w:rPr>
      </w:pPr>
    </w:p>
    <w:p>
      <w:pPr>
        <w:numPr>
          <w:ilvl w:val="0"/>
          <w:numId w:val="0"/>
        </w:numPr>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四、企业信用等级查询及证书打印</w:t>
      </w:r>
    </w:p>
    <w:p>
      <w:pPr>
        <w:numPr>
          <w:ilvl w:val="0"/>
          <w:numId w:val="0"/>
        </w:numPr>
        <w:ind w:left="0" w:leftChars="0" w:firstLine="640" w:firstLineChars="0"/>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浏览器打开：</w:t>
      </w:r>
      <w:r>
        <w:rPr>
          <w:rFonts w:hint="eastAsia" w:ascii="仿宋" w:hAnsi="仿宋" w:eastAsia="仿宋" w:cs="仿宋"/>
          <w:sz w:val="28"/>
          <w:szCs w:val="28"/>
        </w:rPr>
        <w:t>https://nbjszj.zjw.ningbo.gov.cn/#/home宁波市建设工程数字造价平台</w:t>
      </w:r>
      <w:r>
        <w:rPr>
          <w:rFonts w:hint="eastAsia" w:ascii="仿宋" w:hAnsi="仿宋" w:eastAsia="仿宋" w:cs="仿宋"/>
          <w:sz w:val="28"/>
          <w:szCs w:val="28"/>
          <w:lang w:val="en-US" w:eastAsia="zh-CN"/>
        </w:rPr>
        <w:t>-动态信用等级查询，可查询企业历史等级以及打印证书。</w:t>
      </w:r>
    </w:p>
    <w:p>
      <w:pPr>
        <w:numPr>
          <w:ilvl w:val="0"/>
          <w:numId w:val="0"/>
        </w:numPr>
        <w:outlineLvl w:val="0"/>
      </w:pPr>
      <w:r>
        <w:drawing>
          <wp:inline distT="0" distB="0" distL="114300" distR="114300">
            <wp:extent cx="5257800" cy="2541905"/>
            <wp:effectExtent l="0" t="0" r="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57800" cy="2541905"/>
                    </a:xfrm>
                    <a:prstGeom prst="rect">
                      <a:avLst/>
                    </a:prstGeom>
                    <a:noFill/>
                    <a:ln>
                      <a:noFill/>
                    </a:ln>
                  </pic:spPr>
                </pic:pic>
              </a:graphicData>
            </a:graphic>
          </wp:inline>
        </w:drawing>
      </w:r>
    </w:p>
    <w:p>
      <w:pPr>
        <w:numPr>
          <w:ilvl w:val="0"/>
          <w:numId w:val="0"/>
        </w:numPr>
        <w:ind w:left="0" w:leftChars="0" w:firstLine="640" w:firstLineChars="0"/>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在企业端动态评价界面，点击证书打印。</w:t>
      </w:r>
    </w:p>
    <w:p>
      <w:pPr>
        <w:numPr>
          <w:ilvl w:val="0"/>
          <w:numId w:val="0"/>
        </w:numPr>
        <w:outlineLvl w:val="0"/>
      </w:pPr>
      <w:r>
        <w:drawing>
          <wp:inline distT="0" distB="0" distL="114300" distR="114300">
            <wp:extent cx="5266690" cy="548640"/>
            <wp:effectExtent l="0" t="0" r="1016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66690" cy="548640"/>
                    </a:xfrm>
                    <a:prstGeom prst="rect">
                      <a:avLst/>
                    </a:prstGeom>
                    <a:noFill/>
                    <a:ln>
                      <a:noFill/>
                    </a:ln>
                  </pic:spPr>
                </pic:pic>
              </a:graphicData>
            </a:graphic>
          </wp:inline>
        </w:drawing>
      </w:r>
    </w:p>
    <w:p>
      <w:pPr>
        <w:numPr>
          <w:ilvl w:val="0"/>
          <w:numId w:val="0"/>
        </w:numPr>
        <w:outlineLvl w:val="0"/>
        <w:rPr>
          <w:rFonts w:hint="eastAsia"/>
          <w:lang w:val="en-US" w:eastAsia="zh-CN"/>
        </w:rPr>
      </w:pPr>
    </w:p>
    <w:p>
      <w:pPr>
        <w:numPr>
          <w:ilvl w:val="0"/>
          <w:numId w:val="0"/>
        </w:numPr>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五、其他</w:t>
      </w:r>
    </w:p>
    <w:p>
      <w:pPr>
        <w:numPr>
          <w:ilvl w:val="0"/>
          <w:numId w:val="0"/>
        </w:numPr>
        <w:ind w:firstLine="560" w:firstLineChars="200"/>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技术支持：品茗科技股份有限公司</w:t>
      </w:r>
    </w:p>
    <w:p>
      <w:pPr>
        <w:numPr>
          <w:ilvl w:val="0"/>
          <w:numId w:val="0"/>
        </w:numPr>
        <w:ind w:firstLine="560" w:firstLineChars="200"/>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技术咨询QQ：1522909171（工作日9:30-17:00）</w:t>
      </w:r>
    </w:p>
    <w:p>
      <w:pPr>
        <w:numPr>
          <w:ilvl w:val="0"/>
          <w:numId w:val="0"/>
        </w:numPr>
        <w:ind w:left="0" w:leftChars="0" w:firstLine="640" w:firstLineChars="0"/>
        <w:outlineLvl w:val="0"/>
        <w:rPr>
          <w:rFonts w:hint="eastAsia" w:ascii="仿宋" w:hAnsi="仿宋" w:eastAsia="仿宋" w:cs="仿宋"/>
          <w:sz w:val="28"/>
          <w:szCs w:val="28"/>
          <w:lang w:val="en-US"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5C7211"/>
    <w:rsid w:val="145C668F"/>
    <w:rsid w:val="1EF51292"/>
    <w:rsid w:val="1F404A8E"/>
    <w:rsid w:val="26083DE3"/>
    <w:rsid w:val="295C7211"/>
    <w:rsid w:val="2FC01DDD"/>
    <w:rsid w:val="41E217E3"/>
    <w:rsid w:val="44F944EC"/>
    <w:rsid w:val="5B6FC1D9"/>
    <w:rsid w:val="5FB8FAC1"/>
    <w:rsid w:val="64794150"/>
    <w:rsid w:val="688A402B"/>
    <w:rsid w:val="6FD6EAEA"/>
    <w:rsid w:val="71683084"/>
    <w:rsid w:val="755451E1"/>
    <w:rsid w:val="75C041D5"/>
    <w:rsid w:val="76B7CCBC"/>
    <w:rsid w:val="7DB50F64"/>
    <w:rsid w:val="7E585F20"/>
    <w:rsid w:val="7FF754EF"/>
    <w:rsid w:val="F153F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470</Words>
  <Characters>576</Characters>
  <Lines>0</Lines>
  <Paragraphs>0</Paragraphs>
  <TotalTime>21</TotalTime>
  <ScaleCrop>false</ScaleCrop>
  <LinksUpToDate>false</LinksUpToDate>
  <CharactersWithSpaces>578</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2019-12-06T22:37:00Z</dcterms:created>
  <dc:creator>虚实</dc:creator>
  <cp:lastModifiedBy>admin</cp:lastModifiedBy>
  <dcterms:modified xsi:type="dcterms:W3CDTF">2025-07-02T14:22:45Z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KSOTemplateDocerSaveRecord">
    <vt:lpwstr>eyJoZGlkIjoiMWZiNTdjY2JkN2U0MDk4NmRjYzY1MTk2OGIzYzI3ZDIiLCJ1c2VySWQiOiIyNzcxMTE0NiJ9</vt:lpwstr>
  </property>
  <property fmtid="{D5CDD505-2E9C-101B-9397-08002B2CF9AE}" pid="4" name="ICV">
    <vt:lpwstr>88F28528C8DB4FAAA42BEA4E85A78DDF_12</vt:lpwstr>
  </property>
</Properties>
</file>